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41" w:rsidRPr="0052391E" w:rsidRDefault="001F4741" w:rsidP="001F4741">
      <w:pPr>
        <w:pStyle w:val="a5"/>
        <w:outlineLvl w:val="0"/>
        <w:rPr>
          <w:rFonts w:ascii="TH SarabunPSK" w:hAnsi="TH SarabunPSK" w:cs="TH SarabunPSK"/>
          <w:b/>
          <w:bCs/>
          <w:sz w:val="32"/>
          <w:szCs w:val="32"/>
          <w:cs/>
        </w:rPr>
      </w:pPr>
      <w:r w:rsidRPr="0052391E">
        <w:rPr>
          <w:rFonts w:ascii="TH SarabunPSK" w:hAnsi="TH SarabunPSK" w:cs="TH SarabunPSK"/>
          <w:b/>
          <w:bCs/>
          <w:sz w:val="32"/>
          <w:szCs w:val="32"/>
          <w:cs/>
        </w:rPr>
        <w:t xml:space="preserve">ตัวชี้วัดที่  3.2 ร้อยละความสำเร็จของการเบิกจ่ายเงินงบประมาณรายจ่ายประจำ </w:t>
      </w:r>
    </w:p>
    <w:p w:rsidR="001F4741" w:rsidRPr="0052391E" w:rsidRDefault="001F4741" w:rsidP="001F4741">
      <w:pPr>
        <w:pStyle w:val="a5"/>
        <w:outlineLvl w:val="0"/>
        <w:rPr>
          <w:rFonts w:ascii="TH SarabunPSK" w:hAnsi="TH SarabunPSK" w:cs="TH SarabunPSK"/>
          <w:b/>
          <w:bCs/>
          <w:sz w:val="32"/>
          <w:szCs w:val="32"/>
        </w:rPr>
      </w:pPr>
      <w:r w:rsidRPr="0052391E">
        <w:rPr>
          <w:rFonts w:ascii="TH SarabunPSK" w:hAnsi="TH SarabunPSK" w:cs="TH SarabunPSK"/>
          <w:b/>
          <w:bCs/>
          <w:sz w:val="32"/>
          <w:szCs w:val="32"/>
          <w:cs/>
        </w:rPr>
        <w:t>น้ำหนัก : ร้อยละ...... (ตามกรณีดังกล่าวข้างต้น)</w:t>
      </w:r>
    </w:p>
    <w:p w:rsidR="001F4741" w:rsidRPr="0052391E" w:rsidRDefault="001F4741" w:rsidP="001F4741">
      <w:pPr>
        <w:pStyle w:val="a5"/>
        <w:outlineLvl w:val="0"/>
        <w:rPr>
          <w:rFonts w:ascii="TH SarabunPSK" w:hAnsi="TH SarabunPSK" w:cs="TH SarabunPSK"/>
          <w:b/>
          <w:bCs/>
          <w:sz w:val="32"/>
          <w:szCs w:val="32"/>
        </w:rPr>
      </w:pPr>
      <w:r w:rsidRPr="0052391E">
        <w:rPr>
          <w:rFonts w:ascii="TH SarabunPSK" w:hAnsi="TH SarabunPSK" w:cs="TH SarabunPSK"/>
          <w:b/>
          <w:bCs/>
          <w:sz w:val="32"/>
          <w:szCs w:val="32"/>
          <w:cs/>
        </w:rPr>
        <w:t>คำอธิบาย :</w:t>
      </w:r>
    </w:p>
    <w:p w:rsidR="001F4741" w:rsidRPr="0052391E" w:rsidRDefault="001F4741" w:rsidP="001F4741">
      <w:pPr>
        <w:pStyle w:val="a5"/>
        <w:jc w:val="thaiDistribute"/>
        <w:outlineLvl w:val="0"/>
        <w:rPr>
          <w:rFonts w:ascii="TH SarabunPSK" w:hAnsi="TH SarabunPSK" w:cs="TH SarabunPSK"/>
          <w:sz w:val="32"/>
          <w:szCs w:val="32"/>
        </w:rPr>
      </w:pPr>
      <w:r w:rsidRPr="0052391E">
        <w:rPr>
          <w:rFonts w:ascii="TH SarabunPSK" w:hAnsi="TH SarabunPSK" w:cs="TH SarabunPSK"/>
          <w:sz w:val="32"/>
          <w:szCs w:val="32"/>
          <w:cs/>
        </w:rPr>
        <w:tab/>
      </w:r>
      <w:r w:rsidRPr="0052391E">
        <w:rPr>
          <w:rFonts w:ascii="TH SarabunPSK" w:hAnsi="TH SarabunPSK" w:cs="TH SarabunPSK"/>
          <w:sz w:val="32"/>
          <w:szCs w:val="32"/>
          <w:cs/>
        </w:rPr>
        <w:tab/>
        <w:t>การพิจารณาผลสำเร็จด้านการบริหารงบประมาณประจำปี จะใช้อัตราการเบิกจ่ายงบประมาณรายจ่ายประจำของหน่วยงาน จากระบบการบริหารการเงินการคลังภาครัฐแบบอิเล็กทรอนิกส์ (</w:t>
      </w:r>
      <w:r w:rsidRPr="0052391E">
        <w:rPr>
          <w:rFonts w:ascii="TH SarabunPSK" w:hAnsi="TH SarabunPSK" w:cs="TH SarabunPSK"/>
          <w:sz w:val="32"/>
          <w:szCs w:val="32"/>
        </w:rPr>
        <w:t>GFMIS</w:t>
      </w:r>
      <w:r w:rsidRPr="0052391E">
        <w:rPr>
          <w:rFonts w:ascii="TH SarabunPSK" w:hAnsi="TH SarabunPSK" w:cs="TH SarabunPSK"/>
          <w:sz w:val="32"/>
          <w:szCs w:val="32"/>
          <w:cs/>
        </w:rPr>
        <w:t>)</w:t>
      </w:r>
    </w:p>
    <w:p w:rsidR="001F4741" w:rsidRPr="0052391E" w:rsidRDefault="001F4741" w:rsidP="001F4741">
      <w:pPr>
        <w:widowControl w:val="0"/>
        <w:adjustRightInd w:val="0"/>
        <w:spacing w:before="120" w:line="360" w:lineRule="atLeast"/>
        <w:jc w:val="thaiDistribute"/>
        <w:textAlignment w:val="baseline"/>
        <w:rPr>
          <w:rFonts w:ascii="TH SarabunPSK" w:hAnsi="TH SarabunPSK" w:cs="TH SarabunPSK"/>
          <w:b/>
          <w:bCs/>
          <w:sz w:val="32"/>
          <w:szCs w:val="32"/>
        </w:rPr>
      </w:pPr>
      <w:r w:rsidRPr="0052391E">
        <w:rPr>
          <w:rFonts w:ascii="TH SarabunPSK" w:hAnsi="TH SarabunPSK" w:cs="TH SarabunPSK"/>
          <w:b/>
          <w:bCs/>
          <w:sz w:val="32"/>
          <w:szCs w:val="32"/>
          <w:cs/>
        </w:rPr>
        <w:t>เหตุผล :</w:t>
      </w:r>
    </w:p>
    <w:p w:rsidR="001F4741" w:rsidRPr="0052391E" w:rsidRDefault="001F4741" w:rsidP="001F4741">
      <w:pPr>
        <w:jc w:val="thaiDistribute"/>
        <w:rPr>
          <w:rFonts w:ascii="TH SarabunPSK" w:hAnsi="TH SarabunPSK" w:cs="TH SarabunPSK"/>
          <w:sz w:val="32"/>
          <w:szCs w:val="32"/>
        </w:rPr>
      </w:pPr>
      <w:r w:rsidRPr="0052391E">
        <w:rPr>
          <w:rFonts w:ascii="TH SarabunPSK" w:hAnsi="TH SarabunPSK" w:cs="TH SarabunPSK"/>
          <w:sz w:val="32"/>
          <w:szCs w:val="32"/>
          <w:cs/>
        </w:rPr>
        <w:tab/>
      </w:r>
      <w:r w:rsidRPr="0052391E">
        <w:rPr>
          <w:rFonts w:ascii="TH SarabunPSK" w:hAnsi="TH SarabunPSK" w:cs="TH SarabunPSK"/>
          <w:sz w:val="32"/>
          <w:szCs w:val="32"/>
          <w:cs/>
        </w:rPr>
        <w:tab/>
        <w:t>ด้วยกรมบัญชีกลางได้จัดให้มีการมอบรางวัลองค์กรที่มีความเป็นเลิศในการบริหารจัดการด้านการเงินการคลังขึ้น ซึ่งรางวัลดังกล่าวมีเจตจำนงเพื่อส่งเสริมการปฏิบัติงานด้านการเงินการคลังในภาพรวมของส่วนราชการให้มีประสิทธิภาพ โดยยกย่องเชิดชูส่วนราชการที่ปฏิบัติตามกฎ ระเบียบ และมีความโปร่งใสในการปฏิบัติงาน รวมทั้งเป็นขวัญกำลังใจให้กับส่วนราชการที่มีการบริหารจัดการภายใน (ด้านการเงิน การคลัง) ให้ได้รับการยกย่อง เป็นที่ยอมรับ เพราะการบริหารจัดการด้านการเงินการคลังเป็นองค์ประกอบสำคัญที่ส่งเสริมให้ส่วนราชการสามารถปฏิบัติงานในภารกิจหลักได้อย่างมีประสิทธิภาพ</w:t>
      </w:r>
    </w:p>
    <w:p w:rsidR="001F4741" w:rsidRPr="0052391E" w:rsidRDefault="001F4741" w:rsidP="001F4741">
      <w:pPr>
        <w:jc w:val="thaiDistribute"/>
        <w:rPr>
          <w:rFonts w:ascii="TH SarabunPSK" w:hAnsi="TH SarabunPSK" w:cs="TH SarabunPSK"/>
          <w:sz w:val="32"/>
          <w:szCs w:val="32"/>
        </w:rPr>
      </w:pPr>
      <w:r w:rsidRPr="0052391E">
        <w:rPr>
          <w:rFonts w:ascii="TH SarabunPSK" w:hAnsi="TH SarabunPSK" w:cs="TH SarabunPSK"/>
          <w:sz w:val="32"/>
          <w:szCs w:val="32"/>
        </w:rPr>
        <w:tab/>
      </w:r>
      <w:r w:rsidRPr="0052391E">
        <w:rPr>
          <w:rFonts w:ascii="TH SarabunPSK" w:hAnsi="TH SarabunPSK" w:cs="TH SarabunPSK"/>
          <w:sz w:val="32"/>
          <w:szCs w:val="32"/>
        </w:rPr>
        <w:tab/>
      </w:r>
      <w:r w:rsidRPr="0052391E">
        <w:rPr>
          <w:rFonts w:ascii="TH SarabunPSK" w:hAnsi="TH SarabunPSK" w:cs="TH SarabunPSK"/>
          <w:sz w:val="32"/>
          <w:szCs w:val="32"/>
          <w:cs/>
        </w:rPr>
        <w:t>เพื่อเป็นการส่งเสริมให้ส่วนราชการบริหารจัดการด้านการเงินการคลังอย่างถูกต้องโปร่งใส และเป็นที่เชื่อถือศรัทธาของประชาชน โดยประเมินในภาพรวมของส่วนราชการใน 5 มิติ คือ มิติด้านการจัดซื้อจัดจ้าง มิติด้านการเบิกจ่าย มิติด้านการบัญชี มิติด้านการตรวจสอบภายใน และ มิติด้านความรับผิดทางละเมิด ซึ่งเป็นการประเมินตามขั้นตอนการบริหารด้านการเงินการคลัง กล่าวคือ เริ่มต้นจากดำเนินการจัดซื้อจัดจ้าง เมื่อจัดซื้อจัดจ้างสำเร็จแล้วก็จะเข้าสู่ขั้นตอนการเบิกจ่ายงบประมาณ   การลงบัญชี และมีการตรวจทานโดยหน่วยตรวจสอบภายในของส่วนราชการ เพื่อให้มั่นใจว่ากระบวนงาน     ที่ดำเนินการเป็นไปอย่างถูกต้อง ครบถ้วน และทั้งนี้ หากมีการผิดพลาดหรือเกิดการละเมิดขึ้นก็จะเข้าสู่ขั้นตอนการละเมิดทางแพ่งซึ่งเป็นมิติด้านสุดท้าย</w:t>
      </w:r>
    </w:p>
    <w:p w:rsidR="001F4741" w:rsidRPr="0052391E" w:rsidRDefault="001F4741" w:rsidP="001F4741">
      <w:pPr>
        <w:jc w:val="thaiDistribute"/>
        <w:rPr>
          <w:rFonts w:ascii="TH SarabunPSK" w:hAnsi="TH SarabunPSK" w:cs="TH SarabunPSK"/>
          <w:sz w:val="32"/>
          <w:szCs w:val="32"/>
          <w:cs/>
        </w:rPr>
      </w:pPr>
      <w:r w:rsidRPr="0052391E">
        <w:rPr>
          <w:rFonts w:ascii="TH SarabunPSK" w:hAnsi="TH SarabunPSK" w:cs="TH SarabunPSK"/>
          <w:sz w:val="32"/>
          <w:szCs w:val="32"/>
          <w:cs/>
        </w:rPr>
        <w:tab/>
      </w:r>
      <w:r w:rsidRPr="0052391E">
        <w:rPr>
          <w:rFonts w:ascii="TH SarabunPSK" w:hAnsi="TH SarabunPSK" w:cs="TH SarabunPSK"/>
          <w:sz w:val="32"/>
          <w:szCs w:val="32"/>
          <w:cs/>
        </w:rPr>
        <w:tab/>
      </w:r>
      <w:r w:rsidRPr="0052391E">
        <w:rPr>
          <w:rFonts w:ascii="TH SarabunPSK" w:hAnsi="TH SarabunPSK" w:cs="TH SarabunPSK"/>
          <w:spacing w:val="-6"/>
          <w:sz w:val="32"/>
          <w:szCs w:val="32"/>
          <w:cs/>
        </w:rPr>
        <w:t xml:space="preserve">ดังนั้น กองคลังในฐานะผู้รับผิดชอบด้านการบริหารการเงินการคลัง ในด้านมิติการจัดซื้อจัดจ้าง </w:t>
      </w:r>
      <w:r w:rsidRPr="0052391E">
        <w:rPr>
          <w:rFonts w:ascii="TH SarabunPSK" w:hAnsi="TH SarabunPSK" w:cs="TH SarabunPSK"/>
          <w:sz w:val="32"/>
          <w:szCs w:val="32"/>
          <w:cs/>
        </w:rPr>
        <w:t>มิติด้านการเบิกจ่าย มิติด้านการบัญชี จึงได้กำหนดเป็นตัวชี้วัดคำรับรองการปฏิบัติราชการของหน่วยงานในสังกัดกรมการแพทย์ ทั้งนี้เพื่อส่งผลให้กรมการแพทย์ได้รับการคัดเลือกเป็นองค์กรที่มีความเป็นเลิศในการบริหารจัดการด้านการเงินการคลัง ตลอดจนสร้างความโปร่งใส และเป็นที่เชื่อถือศรัทธาของประชาชน</w:t>
      </w:r>
    </w:p>
    <w:p w:rsidR="001F4741" w:rsidRPr="0052391E" w:rsidRDefault="001F4741" w:rsidP="001F4741">
      <w:pPr>
        <w:spacing w:before="120"/>
        <w:jc w:val="thaiDistribute"/>
        <w:rPr>
          <w:rFonts w:ascii="TH SarabunPSK" w:hAnsi="TH SarabunPSK" w:cs="TH SarabunPSK"/>
          <w:sz w:val="32"/>
          <w:szCs w:val="32"/>
        </w:rPr>
      </w:pPr>
      <w:r w:rsidRPr="0052391E">
        <w:rPr>
          <w:rFonts w:ascii="TH SarabunPSK" w:hAnsi="TH SarabunPSK" w:cs="TH SarabunPSK"/>
          <w:b/>
          <w:bCs/>
          <w:sz w:val="32"/>
          <w:szCs w:val="32"/>
          <w:cs/>
        </w:rPr>
        <w:t>สูตรการคำนวณ :</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4"/>
      </w:tblGrid>
      <w:tr w:rsidR="001F4741" w:rsidRPr="0052391E" w:rsidTr="0036304D">
        <w:trPr>
          <w:trHeight w:val="1214"/>
          <w:jc w:val="center"/>
        </w:trPr>
        <w:tc>
          <w:tcPr>
            <w:tcW w:w="8494" w:type="dxa"/>
          </w:tcPr>
          <w:p w:rsidR="001F4741" w:rsidRPr="0052391E" w:rsidRDefault="001F4741" w:rsidP="0036304D">
            <w:pPr>
              <w:pStyle w:val="a5"/>
              <w:jc w:val="center"/>
              <w:outlineLvl w:val="0"/>
              <w:rPr>
                <w:rFonts w:ascii="TH SarabunPSK" w:hAnsi="TH SarabunPSK" w:cs="TH SarabunPSK"/>
                <w:sz w:val="32"/>
                <w:szCs w:val="32"/>
                <w:u w:val="single"/>
              </w:rPr>
            </w:pPr>
          </w:p>
          <w:p w:rsidR="001F4741" w:rsidRPr="0052391E" w:rsidRDefault="001F4741" w:rsidP="0036304D">
            <w:pPr>
              <w:pStyle w:val="a5"/>
              <w:jc w:val="center"/>
              <w:outlineLvl w:val="0"/>
              <w:rPr>
                <w:rFonts w:ascii="TH SarabunPSK" w:hAnsi="TH SarabunPSK" w:cs="TH SarabunPSK"/>
                <w:sz w:val="32"/>
                <w:szCs w:val="32"/>
                <w:u w:val="single"/>
              </w:rPr>
            </w:pPr>
            <w:r w:rsidRPr="0052391E">
              <w:rPr>
                <w:rFonts w:ascii="TH SarabunPSK" w:hAnsi="TH SarabunPSK" w:cs="TH SarabunPSK"/>
                <w:sz w:val="32"/>
                <w:szCs w:val="32"/>
                <w:u w:val="single"/>
                <w:cs/>
              </w:rPr>
              <w:t xml:space="preserve">เงินงบประมาณรายจ่ายประจำที่หน่วยงานเบิกจ่ายตั้งแต่ต้นปีจนถึงสิ้นไตรมาส </w:t>
            </w:r>
            <w:r w:rsidRPr="0052391E">
              <w:rPr>
                <w:rFonts w:ascii="TH SarabunPSK" w:hAnsi="TH SarabunPSK" w:cs="TH SarabunPSK"/>
                <w:sz w:val="32"/>
                <w:szCs w:val="32"/>
                <w:u w:val="single"/>
              </w:rPr>
              <w:t xml:space="preserve">x </w:t>
            </w:r>
            <w:r w:rsidRPr="0052391E">
              <w:rPr>
                <w:rFonts w:ascii="TH SarabunPSK" w:hAnsi="TH SarabunPSK" w:cs="TH SarabunPSK"/>
                <w:sz w:val="32"/>
                <w:szCs w:val="32"/>
                <w:u w:val="single"/>
                <w:cs/>
              </w:rPr>
              <w:t>100</w:t>
            </w:r>
          </w:p>
          <w:p w:rsidR="001F4741" w:rsidRPr="0052391E" w:rsidRDefault="001F4741" w:rsidP="0036304D">
            <w:pPr>
              <w:pStyle w:val="a5"/>
              <w:jc w:val="center"/>
              <w:outlineLvl w:val="0"/>
              <w:rPr>
                <w:rFonts w:ascii="TH SarabunPSK" w:hAnsi="TH SarabunPSK" w:cs="TH SarabunPSK"/>
                <w:sz w:val="32"/>
                <w:szCs w:val="32"/>
                <w:cs/>
              </w:rPr>
            </w:pPr>
            <w:r w:rsidRPr="0052391E">
              <w:rPr>
                <w:rFonts w:ascii="TH SarabunPSK" w:hAnsi="TH SarabunPSK" w:cs="TH SarabunPSK"/>
                <w:sz w:val="32"/>
                <w:szCs w:val="32"/>
                <w:cs/>
              </w:rPr>
              <w:t>วงเงินงบประมาณรายจ่ายประจำที่หน่วยงานได้รับตั้งแต่ต้นปีจนถึงสิ้นไตรมาส</w:t>
            </w:r>
          </w:p>
        </w:tc>
      </w:tr>
    </w:tbl>
    <w:p w:rsidR="001F4741" w:rsidRPr="0052391E" w:rsidRDefault="001F4741" w:rsidP="001F4741">
      <w:pPr>
        <w:pStyle w:val="a3"/>
        <w:spacing w:before="120"/>
        <w:ind w:left="0" w:right="-516"/>
        <w:jc w:val="thaiDistribute"/>
        <w:rPr>
          <w:rFonts w:ascii="TH SarabunPSK" w:hAnsi="TH SarabunPSK" w:cs="TH SarabunPSK"/>
          <w:sz w:val="32"/>
          <w:szCs w:val="32"/>
        </w:rPr>
      </w:pPr>
      <w:r w:rsidRPr="0052391E">
        <w:rPr>
          <w:rFonts w:ascii="TH SarabunPSK" w:hAnsi="TH SarabunPSK" w:cs="TH SarabunPSK"/>
          <w:b/>
          <w:bCs/>
          <w:sz w:val="32"/>
          <w:szCs w:val="32"/>
          <w:cs/>
        </w:rPr>
        <w:t>เกณฑ์การให้คะแนน :</w:t>
      </w:r>
    </w:p>
    <w:p w:rsidR="001F4741" w:rsidRPr="0052391E" w:rsidRDefault="001F4741" w:rsidP="001F4741">
      <w:pPr>
        <w:spacing w:after="120"/>
        <w:rPr>
          <w:rFonts w:ascii="TH SarabunPSK" w:hAnsi="TH SarabunPSK" w:cs="TH SarabunPSK"/>
          <w:sz w:val="32"/>
          <w:szCs w:val="32"/>
        </w:rPr>
      </w:pPr>
      <w:r w:rsidRPr="0052391E">
        <w:rPr>
          <w:rFonts w:ascii="TH SarabunPSK" w:hAnsi="TH SarabunPSK" w:cs="TH SarabunPSK"/>
          <w:sz w:val="32"/>
          <w:szCs w:val="32"/>
          <w:cs/>
        </w:rPr>
        <w:t xml:space="preserve">ช่วงปรับเกณฑ์การให้คะแนน +/- ร้อยละ 1 ต่อ </w:t>
      </w:r>
      <w:r w:rsidRPr="0052391E">
        <w:rPr>
          <w:rFonts w:ascii="TH SarabunPSK" w:hAnsi="TH SarabunPSK" w:cs="TH SarabunPSK"/>
          <w:sz w:val="32"/>
          <w:szCs w:val="32"/>
        </w:rPr>
        <w:t xml:space="preserve">1 </w:t>
      </w:r>
      <w:r w:rsidRPr="0052391E">
        <w:rPr>
          <w:rFonts w:ascii="TH SarabunPSK" w:hAnsi="TH SarabunPSK" w:cs="TH SarabunPSK"/>
          <w:sz w:val="32"/>
          <w:szCs w:val="32"/>
          <w:cs/>
        </w:rPr>
        <w:t>คะแนน โดยกำหนดเกณฑ์การให้คะแนน ดังนี้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1045"/>
        <w:gridCol w:w="1046"/>
        <w:gridCol w:w="1046"/>
        <w:gridCol w:w="1046"/>
        <w:gridCol w:w="1046"/>
      </w:tblGrid>
      <w:tr w:rsidR="001F4741" w:rsidRPr="0052391E" w:rsidTr="0036304D">
        <w:tc>
          <w:tcPr>
            <w:tcW w:w="2270" w:type="pct"/>
            <w:vMerge w:val="restart"/>
            <w:shd w:val="clear" w:color="auto" w:fill="F2F2F2"/>
          </w:tcPr>
          <w:p w:rsidR="001F4741" w:rsidRPr="0052391E" w:rsidRDefault="001F4741" w:rsidP="0036304D">
            <w:pPr>
              <w:pStyle w:val="a5"/>
              <w:jc w:val="center"/>
              <w:outlineLvl w:val="0"/>
              <w:rPr>
                <w:rFonts w:ascii="TH SarabunPSK" w:hAnsi="TH SarabunPSK" w:cs="TH SarabunPSK"/>
                <w:b/>
                <w:bCs/>
                <w:sz w:val="32"/>
                <w:szCs w:val="32"/>
                <w:cs/>
              </w:rPr>
            </w:pPr>
            <w:r w:rsidRPr="0052391E">
              <w:rPr>
                <w:rFonts w:ascii="TH SarabunPSK" w:hAnsi="TH SarabunPSK" w:cs="TH SarabunPSK"/>
                <w:b/>
                <w:bCs/>
                <w:sz w:val="32"/>
                <w:szCs w:val="32"/>
                <w:cs/>
              </w:rPr>
              <w:lastRenderedPageBreak/>
              <w:t>ตัวชี้วัด</w:t>
            </w:r>
          </w:p>
        </w:tc>
        <w:tc>
          <w:tcPr>
            <w:tcW w:w="2730" w:type="pct"/>
            <w:gridSpan w:val="5"/>
            <w:shd w:val="clear" w:color="auto" w:fill="F2F2F2"/>
          </w:tcPr>
          <w:p w:rsidR="001F4741" w:rsidRPr="0052391E" w:rsidRDefault="001F4741" w:rsidP="0036304D">
            <w:pPr>
              <w:pStyle w:val="a5"/>
              <w:jc w:val="center"/>
              <w:outlineLvl w:val="0"/>
              <w:rPr>
                <w:rFonts w:ascii="TH SarabunPSK" w:hAnsi="TH SarabunPSK" w:cs="TH SarabunPSK"/>
                <w:b/>
                <w:bCs/>
                <w:sz w:val="32"/>
                <w:szCs w:val="32"/>
                <w:cs/>
              </w:rPr>
            </w:pPr>
            <w:r w:rsidRPr="0052391E">
              <w:rPr>
                <w:rFonts w:ascii="TH SarabunPSK" w:hAnsi="TH SarabunPSK" w:cs="TH SarabunPSK"/>
                <w:b/>
                <w:bCs/>
                <w:sz w:val="32"/>
                <w:szCs w:val="32"/>
                <w:cs/>
              </w:rPr>
              <w:t>เกณฑ์การให้คะแนน</w:t>
            </w:r>
          </w:p>
        </w:tc>
      </w:tr>
      <w:tr w:rsidR="001F4741" w:rsidRPr="0052391E" w:rsidTr="0036304D">
        <w:tc>
          <w:tcPr>
            <w:tcW w:w="2270" w:type="pct"/>
            <w:vMerge/>
            <w:shd w:val="clear" w:color="auto" w:fill="F2F2F2"/>
          </w:tcPr>
          <w:p w:rsidR="001F4741" w:rsidRPr="0052391E" w:rsidRDefault="001F4741" w:rsidP="0036304D">
            <w:pPr>
              <w:pStyle w:val="a5"/>
              <w:jc w:val="center"/>
              <w:outlineLvl w:val="0"/>
              <w:rPr>
                <w:rFonts w:ascii="TH SarabunPSK" w:hAnsi="TH SarabunPSK" w:cs="TH SarabunPSK"/>
                <w:b/>
                <w:bCs/>
                <w:sz w:val="32"/>
                <w:szCs w:val="32"/>
                <w:cs/>
              </w:rPr>
            </w:pPr>
          </w:p>
        </w:tc>
        <w:tc>
          <w:tcPr>
            <w:tcW w:w="546" w:type="pct"/>
            <w:shd w:val="clear" w:color="auto" w:fill="F2F2F2"/>
          </w:tcPr>
          <w:p w:rsidR="001F4741" w:rsidRPr="0052391E" w:rsidRDefault="001F4741"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1</w:t>
            </w:r>
          </w:p>
        </w:tc>
        <w:tc>
          <w:tcPr>
            <w:tcW w:w="546" w:type="pct"/>
            <w:shd w:val="clear" w:color="auto" w:fill="F2F2F2"/>
          </w:tcPr>
          <w:p w:rsidR="001F4741" w:rsidRPr="0052391E" w:rsidRDefault="001F4741"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2</w:t>
            </w:r>
          </w:p>
        </w:tc>
        <w:tc>
          <w:tcPr>
            <w:tcW w:w="546" w:type="pct"/>
            <w:shd w:val="clear" w:color="auto" w:fill="F2F2F2"/>
          </w:tcPr>
          <w:p w:rsidR="001F4741" w:rsidRPr="0052391E" w:rsidRDefault="001F4741"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3</w:t>
            </w:r>
          </w:p>
        </w:tc>
        <w:tc>
          <w:tcPr>
            <w:tcW w:w="546" w:type="pct"/>
            <w:shd w:val="clear" w:color="auto" w:fill="F2F2F2"/>
          </w:tcPr>
          <w:p w:rsidR="001F4741" w:rsidRPr="0052391E" w:rsidRDefault="001F4741"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4</w:t>
            </w:r>
          </w:p>
        </w:tc>
        <w:tc>
          <w:tcPr>
            <w:tcW w:w="546" w:type="pct"/>
            <w:shd w:val="clear" w:color="auto" w:fill="F2F2F2"/>
          </w:tcPr>
          <w:p w:rsidR="001F4741" w:rsidRPr="0052391E" w:rsidRDefault="001F4741" w:rsidP="0036304D">
            <w:pPr>
              <w:pStyle w:val="a5"/>
              <w:jc w:val="center"/>
              <w:outlineLvl w:val="0"/>
              <w:rPr>
                <w:rFonts w:ascii="TH SarabunPSK" w:hAnsi="TH SarabunPSK" w:cs="TH SarabunPSK"/>
                <w:b/>
                <w:bCs/>
                <w:sz w:val="32"/>
                <w:szCs w:val="32"/>
              </w:rPr>
            </w:pPr>
            <w:r w:rsidRPr="0052391E">
              <w:rPr>
                <w:rFonts w:ascii="TH SarabunPSK" w:hAnsi="TH SarabunPSK" w:cs="TH SarabunPSK"/>
                <w:b/>
                <w:bCs/>
                <w:sz w:val="32"/>
                <w:szCs w:val="32"/>
                <w:cs/>
              </w:rPr>
              <w:t>ระดับ 5</w:t>
            </w:r>
          </w:p>
        </w:tc>
      </w:tr>
      <w:tr w:rsidR="001F4741" w:rsidRPr="0052391E" w:rsidTr="0036304D">
        <w:tc>
          <w:tcPr>
            <w:tcW w:w="2270" w:type="pct"/>
          </w:tcPr>
          <w:p w:rsidR="001F4741" w:rsidRPr="0052391E" w:rsidRDefault="001F4741" w:rsidP="0036304D">
            <w:pPr>
              <w:pStyle w:val="a5"/>
              <w:outlineLvl w:val="0"/>
              <w:rPr>
                <w:rFonts w:ascii="TH SarabunPSK" w:hAnsi="TH SarabunPSK" w:cs="TH SarabunPSK"/>
                <w:sz w:val="32"/>
                <w:szCs w:val="32"/>
                <w:cs/>
              </w:rPr>
            </w:pPr>
            <w:r w:rsidRPr="0052391E">
              <w:rPr>
                <w:rFonts w:ascii="TH SarabunPSK" w:hAnsi="TH SarabunPSK" w:cs="TH SarabunPSK"/>
                <w:sz w:val="32"/>
                <w:szCs w:val="32"/>
                <w:cs/>
              </w:rPr>
              <w:t xml:space="preserve">การเบิกจ่ายเงินงบประมาณรายจ่ายประจำ </w:t>
            </w:r>
            <w:r w:rsidRPr="0052391E">
              <w:rPr>
                <w:rFonts w:ascii="TH SarabunPSK" w:hAnsi="TH SarabunPSK" w:cs="TH SarabunPSK"/>
                <w:sz w:val="32"/>
                <w:szCs w:val="32"/>
                <w:cs/>
              </w:rPr>
              <w:br/>
              <w:t>ณ สิ้นไตรมาสที่ 4</w:t>
            </w:r>
          </w:p>
        </w:tc>
        <w:tc>
          <w:tcPr>
            <w:tcW w:w="546" w:type="pct"/>
          </w:tcPr>
          <w:p w:rsidR="001F4741" w:rsidRPr="0052391E" w:rsidRDefault="001F4741" w:rsidP="0036304D">
            <w:pPr>
              <w:pStyle w:val="a5"/>
              <w:jc w:val="center"/>
              <w:outlineLvl w:val="0"/>
              <w:rPr>
                <w:rFonts w:ascii="TH SarabunPSK" w:hAnsi="TH SarabunPSK" w:cs="TH SarabunPSK"/>
                <w:sz w:val="32"/>
                <w:szCs w:val="32"/>
              </w:rPr>
            </w:pPr>
            <w:r w:rsidRPr="0052391E">
              <w:rPr>
                <w:rFonts w:ascii="TH SarabunPSK" w:hAnsi="TH SarabunPSK" w:cs="TH SarabunPSK"/>
                <w:sz w:val="32"/>
                <w:szCs w:val="32"/>
                <w:cs/>
              </w:rPr>
              <w:t>90.36</w:t>
            </w:r>
          </w:p>
          <w:p w:rsidR="001F4741" w:rsidRPr="0052391E" w:rsidRDefault="001F4741" w:rsidP="0036304D">
            <w:pPr>
              <w:pStyle w:val="a5"/>
              <w:jc w:val="center"/>
              <w:outlineLvl w:val="0"/>
              <w:rPr>
                <w:rFonts w:ascii="TH SarabunPSK" w:hAnsi="TH SarabunPSK" w:cs="TH SarabunPSK"/>
                <w:sz w:val="32"/>
                <w:szCs w:val="32"/>
              </w:rPr>
            </w:pPr>
          </w:p>
        </w:tc>
        <w:tc>
          <w:tcPr>
            <w:tcW w:w="546" w:type="pct"/>
          </w:tcPr>
          <w:p w:rsidR="001F4741" w:rsidRPr="0052391E" w:rsidRDefault="001F4741" w:rsidP="0036304D">
            <w:pPr>
              <w:pStyle w:val="a5"/>
              <w:jc w:val="center"/>
              <w:outlineLvl w:val="0"/>
              <w:rPr>
                <w:rFonts w:ascii="TH SarabunPSK" w:hAnsi="TH SarabunPSK" w:cs="TH SarabunPSK"/>
                <w:sz w:val="32"/>
                <w:szCs w:val="32"/>
              </w:rPr>
            </w:pPr>
            <w:r w:rsidRPr="0052391E">
              <w:rPr>
                <w:rFonts w:ascii="TH SarabunPSK" w:hAnsi="TH SarabunPSK" w:cs="TH SarabunPSK"/>
                <w:sz w:val="32"/>
                <w:szCs w:val="32"/>
                <w:cs/>
              </w:rPr>
              <w:t>92.36</w:t>
            </w:r>
          </w:p>
        </w:tc>
        <w:tc>
          <w:tcPr>
            <w:tcW w:w="546" w:type="pct"/>
          </w:tcPr>
          <w:p w:rsidR="001F4741" w:rsidRPr="0052391E" w:rsidRDefault="001F4741" w:rsidP="0036304D">
            <w:pPr>
              <w:pStyle w:val="a5"/>
              <w:jc w:val="center"/>
              <w:outlineLvl w:val="0"/>
              <w:rPr>
                <w:rFonts w:ascii="TH SarabunPSK" w:hAnsi="TH SarabunPSK" w:cs="TH SarabunPSK"/>
                <w:sz w:val="32"/>
                <w:szCs w:val="32"/>
              </w:rPr>
            </w:pPr>
            <w:r w:rsidRPr="0052391E">
              <w:rPr>
                <w:rFonts w:ascii="TH SarabunPSK" w:hAnsi="TH SarabunPSK" w:cs="TH SarabunPSK"/>
                <w:sz w:val="32"/>
                <w:szCs w:val="32"/>
                <w:cs/>
              </w:rPr>
              <w:t>94.36</w:t>
            </w:r>
          </w:p>
        </w:tc>
        <w:tc>
          <w:tcPr>
            <w:tcW w:w="546" w:type="pct"/>
          </w:tcPr>
          <w:p w:rsidR="001F4741" w:rsidRPr="0052391E" w:rsidRDefault="001F4741" w:rsidP="0036304D">
            <w:pPr>
              <w:pStyle w:val="a5"/>
              <w:jc w:val="center"/>
              <w:outlineLvl w:val="0"/>
              <w:rPr>
                <w:rFonts w:ascii="TH SarabunPSK" w:hAnsi="TH SarabunPSK" w:cs="TH SarabunPSK"/>
                <w:sz w:val="32"/>
                <w:szCs w:val="32"/>
              </w:rPr>
            </w:pPr>
            <w:r w:rsidRPr="0052391E">
              <w:rPr>
                <w:rFonts w:ascii="TH SarabunPSK" w:hAnsi="TH SarabunPSK" w:cs="TH SarabunPSK"/>
                <w:sz w:val="32"/>
                <w:szCs w:val="32"/>
                <w:cs/>
              </w:rPr>
              <w:t>96.36</w:t>
            </w:r>
          </w:p>
        </w:tc>
        <w:tc>
          <w:tcPr>
            <w:tcW w:w="546" w:type="pct"/>
          </w:tcPr>
          <w:p w:rsidR="001F4741" w:rsidRPr="0052391E" w:rsidRDefault="001F4741" w:rsidP="0036304D">
            <w:pPr>
              <w:pStyle w:val="a5"/>
              <w:jc w:val="center"/>
              <w:outlineLvl w:val="0"/>
              <w:rPr>
                <w:rFonts w:ascii="TH SarabunPSK" w:hAnsi="TH SarabunPSK" w:cs="TH SarabunPSK"/>
                <w:sz w:val="32"/>
                <w:szCs w:val="32"/>
              </w:rPr>
            </w:pPr>
            <w:r w:rsidRPr="0052391E">
              <w:rPr>
                <w:rFonts w:ascii="TH SarabunPSK" w:hAnsi="TH SarabunPSK" w:cs="TH SarabunPSK"/>
                <w:sz w:val="32"/>
                <w:szCs w:val="32"/>
                <w:cs/>
              </w:rPr>
              <w:t>98.36</w:t>
            </w:r>
          </w:p>
        </w:tc>
      </w:tr>
    </w:tbl>
    <w:p w:rsidR="001F4741" w:rsidRPr="0052391E" w:rsidRDefault="001F4741" w:rsidP="001F4741">
      <w:pPr>
        <w:pStyle w:val="a7"/>
        <w:spacing w:before="120"/>
        <w:jc w:val="thaiDistribute"/>
        <w:rPr>
          <w:rFonts w:ascii="TH SarabunPSK" w:hAnsi="TH SarabunPSK" w:cs="TH SarabunPSK"/>
          <w:b/>
          <w:bCs/>
          <w:spacing w:val="0"/>
          <w:sz w:val="32"/>
          <w:szCs w:val="32"/>
        </w:rPr>
      </w:pPr>
      <w:r w:rsidRPr="0052391E">
        <w:rPr>
          <w:rFonts w:ascii="TH SarabunPSK" w:hAnsi="TH SarabunPSK" w:cs="TH SarabunPSK"/>
          <w:b/>
          <w:bCs/>
          <w:spacing w:val="0"/>
          <w:sz w:val="32"/>
          <w:szCs w:val="32"/>
          <w:cs/>
        </w:rPr>
        <w:t>หน่วยงานเจ้าภาพในการติดตามและประเมินผล : กองคลัง</w:t>
      </w:r>
    </w:p>
    <w:sectPr w:rsidR="001F4741" w:rsidRPr="0052391E" w:rsidSect="00CB5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H SarabunPSK">
    <w:panose1 w:val="020B0500040200020003"/>
    <w:charset w:val="00"/>
    <w:family w:val="swiss"/>
    <w:pitch w:val="variable"/>
    <w:sig w:usb0="A100006F" w:usb1="5000205A" w:usb2="00000000" w:usb3="00000000" w:csb0="0001018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1F4741"/>
    <w:rsid w:val="0008126E"/>
    <w:rsid w:val="001F4741"/>
    <w:rsid w:val="00494A5A"/>
    <w:rsid w:val="008253E1"/>
    <w:rsid w:val="00860BA2"/>
    <w:rsid w:val="00871CB7"/>
    <w:rsid w:val="00B7762A"/>
    <w:rsid w:val="00CB548C"/>
    <w:rsid w:val="00D6466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41"/>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Heading"/>
    <w:basedOn w:val="a"/>
    <w:link w:val="a4"/>
    <w:uiPriority w:val="34"/>
    <w:qFormat/>
    <w:rsid w:val="001F4741"/>
    <w:pPr>
      <w:ind w:left="720"/>
      <w:contextualSpacing/>
    </w:pPr>
    <w:rPr>
      <w:rFonts w:ascii="AngsanaUPC" w:hAnsi="AngsanaUPC"/>
      <w:sz w:val="28"/>
      <w:szCs w:val="35"/>
    </w:rPr>
  </w:style>
  <w:style w:type="character" w:customStyle="1" w:styleId="a4">
    <w:name w:val="รายการย่อหน้า อักขระ"/>
    <w:aliases w:val="Table Heading อักขระ"/>
    <w:link w:val="a3"/>
    <w:uiPriority w:val="34"/>
    <w:rsid w:val="001F4741"/>
    <w:rPr>
      <w:rFonts w:ascii="AngsanaUPC" w:eastAsia="Times New Roman" w:hAnsi="AngsanaUPC" w:cs="Angsana New"/>
      <w:sz w:val="28"/>
      <w:szCs w:val="35"/>
    </w:rPr>
  </w:style>
  <w:style w:type="paragraph" w:styleId="a5">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6"/>
    <w:rsid w:val="001F4741"/>
    <w:rPr>
      <w:rFonts w:ascii="MS Sans Serif" w:eastAsia="Cordia New" w:hAnsi="MS Sans Serif" w:cs="EucrosiaUPC"/>
      <w:sz w:val="28"/>
      <w:szCs w:val="28"/>
      <w:lang w:eastAsia="th-TH"/>
    </w:rPr>
  </w:style>
  <w:style w:type="character" w:customStyle="1" w:styleId="a6">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5"/>
    <w:rsid w:val="001F4741"/>
    <w:rPr>
      <w:rFonts w:ascii="MS Sans Serif" w:eastAsia="Cordia New" w:hAnsi="MS Sans Serif" w:cs="EucrosiaUPC"/>
      <w:sz w:val="28"/>
      <w:lang w:eastAsia="th-TH"/>
    </w:rPr>
  </w:style>
  <w:style w:type="paragraph" w:styleId="a7">
    <w:name w:val="Title"/>
    <w:basedOn w:val="a"/>
    <w:next w:val="a"/>
    <w:link w:val="a8"/>
    <w:qFormat/>
    <w:rsid w:val="001F4741"/>
    <w:pPr>
      <w:contextualSpacing/>
    </w:pPr>
    <w:rPr>
      <w:rFonts w:asciiTheme="majorHAnsi" w:eastAsiaTheme="majorEastAsia" w:hAnsiTheme="majorHAnsi" w:cstheme="majorBidi"/>
      <w:spacing w:val="-10"/>
      <w:kern w:val="28"/>
      <w:sz w:val="56"/>
      <w:szCs w:val="71"/>
    </w:rPr>
  </w:style>
  <w:style w:type="character" w:customStyle="1" w:styleId="a8">
    <w:name w:val="ชื่อเรื่อง อักขระ"/>
    <w:basedOn w:val="a0"/>
    <w:link w:val="a7"/>
    <w:rsid w:val="001F4741"/>
    <w:rPr>
      <w:rFonts w:asciiTheme="majorHAnsi" w:eastAsiaTheme="majorEastAsia" w:hAnsiTheme="majorHAnsi" w:cstheme="majorBidi"/>
      <w:spacing w:val="-10"/>
      <w:kern w:val="28"/>
      <w:sz w:val="56"/>
      <w:szCs w:val="7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2019-06-27T02:59:00Z</dcterms:created>
  <dcterms:modified xsi:type="dcterms:W3CDTF">2019-06-27T03:00:00Z</dcterms:modified>
</cp:coreProperties>
</file>